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12F8" w14:textId="18FACF74" w:rsidR="008C1CA4" w:rsidRPr="008C1CA4" w:rsidRDefault="008C1CA4" w:rsidP="008C1CA4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val="en-GB"/>
        </w:rPr>
      </w:pPr>
      <w:r w:rsidRPr="008C1CA4">
        <w:rPr>
          <w:rFonts w:ascii="Arial" w:eastAsiaTheme="minorHAnsi" w:hAnsi="Arial" w:cs="Arial"/>
          <w:b/>
          <w:sz w:val="40"/>
          <w:szCs w:val="40"/>
          <w:lang w:val="en-GB"/>
        </w:rPr>
        <w:t xml:space="preserve">Claypath and University </w:t>
      </w:r>
      <w:r w:rsidRPr="008C1CA4">
        <w:rPr>
          <w:rFonts w:ascii="Arial" w:eastAsiaTheme="minorHAnsi" w:hAnsi="Arial" w:cs="Arial"/>
          <w:b/>
          <w:sz w:val="40"/>
          <w:szCs w:val="40"/>
          <w:lang w:val="en-GB"/>
        </w:rPr>
        <w:br/>
      </w:r>
      <w:r w:rsidRPr="008C1CA4">
        <w:rPr>
          <w:rFonts w:ascii="Arial" w:eastAsiaTheme="minorHAnsi" w:hAnsi="Arial" w:cs="Arial"/>
          <w:b/>
          <w:sz w:val="32"/>
          <w:szCs w:val="32"/>
          <w:lang w:val="en-GB"/>
        </w:rPr>
        <w:t>Primary Care Network</w:t>
      </w:r>
      <w:r w:rsidR="00B16DF1">
        <w:rPr>
          <w:rFonts w:ascii="Arial" w:eastAsiaTheme="minorHAnsi" w:hAnsi="Arial" w:cs="Arial"/>
          <w:b/>
          <w:sz w:val="32"/>
          <w:szCs w:val="32"/>
          <w:lang w:val="en-GB"/>
        </w:rPr>
        <w:br/>
      </w:r>
    </w:p>
    <w:p w14:paraId="7903B1F8" w14:textId="78184678" w:rsidR="008C1CA4" w:rsidRPr="008C1CA4" w:rsidRDefault="008C1CA4" w:rsidP="008C1CA4">
      <w:pPr>
        <w:spacing w:after="200" w:line="276" w:lineRule="auto"/>
        <w:jc w:val="center"/>
        <w:rPr>
          <w:rFonts w:ascii="Arial" w:eastAsiaTheme="minorHAnsi" w:hAnsi="Arial" w:cs="Arial"/>
          <w:b/>
          <w:sz w:val="40"/>
          <w:szCs w:val="40"/>
          <w:lang w:val="en-GB"/>
        </w:rPr>
      </w:pPr>
      <w:r w:rsidRPr="008C1CA4">
        <w:rPr>
          <w:rFonts w:ascii="Arial" w:eastAsiaTheme="minorHAnsi" w:hAnsi="Arial" w:cs="Arial"/>
          <w:b/>
          <w:sz w:val="32"/>
          <w:szCs w:val="32"/>
          <w:lang w:val="en-GB"/>
        </w:rPr>
        <w:t>Job Description</w:t>
      </w:r>
      <w:r w:rsidRPr="008C1CA4">
        <w:rPr>
          <w:rFonts w:ascii="Arial" w:eastAsiaTheme="minorHAnsi" w:hAnsi="Arial" w:cs="Arial"/>
          <w:b/>
          <w:sz w:val="32"/>
          <w:szCs w:val="32"/>
          <w:lang w:val="en-GB"/>
        </w:rPr>
        <w:br/>
      </w:r>
      <w:r w:rsidR="00B16DF1">
        <w:rPr>
          <w:rFonts w:ascii="Arial" w:eastAsiaTheme="minorHAnsi" w:hAnsi="Arial" w:cs="Arial"/>
          <w:b/>
          <w:sz w:val="32"/>
          <w:szCs w:val="32"/>
          <w:lang w:val="en-GB"/>
        </w:rPr>
        <w:t xml:space="preserve">PCN </w:t>
      </w:r>
      <w:r>
        <w:rPr>
          <w:rFonts w:ascii="Arial" w:eastAsiaTheme="minorHAnsi" w:hAnsi="Arial" w:cs="Arial"/>
          <w:b/>
          <w:sz w:val="32"/>
          <w:szCs w:val="32"/>
          <w:lang w:val="en-GB"/>
        </w:rPr>
        <w:t>Clinical Pharmacist</w:t>
      </w:r>
      <w:r w:rsidRPr="008C1CA4">
        <w:rPr>
          <w:rFonts w:ascii="Arial" w:eastAsiaTheme="minorHAnsi" w:hAnsi="Arial" w:cs="Arial"/>
          <w:b/>
          <w:sz w:val="40"/>
          <w:szCs w:val="40"/>
          <w:lang w:val="en-GB"/>
        </w:rPr>
        <w:br/>
      </w:r>
    </w:p>
    <w:p w14:paraId="1DCF7D4B" w14:textId="7D2F41C3" w:rsidR="008C1CA4" w:rsidRPr="008C1CA4" w:rsidRDefault="008C1CA4" w:rsidP="008C1CA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8C1CA4">
        <w:rPr>
          <w:rFonts w:ascii="Arial" w:eastAsiaTheme="minorHAnsi" w:hAnsi="Arial" w:cs="Arial"/>
          <w:sz w:val="22"/>
          <w:szCs w:val="22"/>
          <w:lang w:val="en-GB"/>
        </w:rPr>
        <w:t xml:space="preserve">Hours of duty:    </w:t>
      </w:r>
      <w:r w:rsidR="003E5910">
        <w:rPr>
          <w:rFonts w:ascii="Arial" w:eastAsiaTheme="minorHAnsi" w:hAnsi="Arial" w:cs="Arial"/>
          <w:sz w:val="22"/>
          <w:szCs w:val="22"/>
          <w:lang w:val="en-GB"/>
        </w:rPr>
        <w:t>Full or Part-time</w:t>
      </w:r>
      <w:r w:rsidR="003E5910">
        <w:rPr>
          <w:rFonts w:ascii="Arial" w:eastAsiaTheme="minorHAnsi" w:hAnsi="Arial" w:cs="Arial"/>
          <w:sz w:val="22"/>
          <w:szCs w:val="22"/>
          <w:lang w:val="en-GB"/>
        </w:rPr>
        <w:br/>
      </w:r>
      <w:r w:rsidR="003E5910">
        <w:rPr>
          <w:rFonts w:ascii="Arial" w:eastAsiaTheme="minorHAnsi" w:hAnsi="Arial" w:cs="Arial"/>
          <w:sz w:val="22"/>
          <w:szCs w:val="22"/>
          <w:lang w:val="en-GB"/>
        </w:rPr>
        <w:br/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t xml:space="preserve">Responsible to: </w:t>
      </w:r>
      <w:r w:rsidR="00B16DF1">
        <w:rPr>
          <w:rFonts w:ascii="Arial" w:eastAsiaTheme="minorHAnsi" w:hAnsi="Arial" w:cs="Arial"/>
          <w:sz w:val="22"/>
          <w:szCs w:val="22"/>
          <w:lang w:val="en-GB"/>
        </w:rPr>
        <w:t>GP Partner/Prescribing Lead, Claypath and University Medical Group</w:t>
      </w:r>
      <w:r w:rsidR="003E5910">
        <w:rPr>
          <w:rFonts w:ascii="Arial" w:eastAsiaTheme="minorHAnsi" w:hAnsi="Arial" w:cs="Arial"/>
          <w:sz w:val="22"/>
          <w:szCs w:val="22"/>
          <w:lang w:val="en-GB"/>
        </w:rPr>
        <w:br/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br/>
        <w:t>Employer:          Claypath and University Medical Group</w:t>
      </w:r>
    </w:p>
    <w:p w14:paraId="3C066603" w14:textId="236D83A6" w:rsidR="008C1CA4" w:rsidRPr="008C1CA4" w:rsidRDefault="008C1CA4" w:rsidP="008C1CA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8C1CA4">
        <w:rPr>
          <w:rFonts w:ascii="Arial" w:eastAsiaTheme="minorHAnsi" w:hAnsi="Arial" w:cs="Arial"/>
          <w:sz w:val="22"/>
          <w:szCs w:val="22"/>
          <w:lang w:val="en-GB"/>
        </w:rPr>
        <w:t>Pay:</w:t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tab/>
        <w:t xml:space="preserve">  </w:t>
      </w:r>
      <w:r w:rsidR="00E32021">
        <w:rPr>
          <w:rFonts w:ascii="Arial" w:eastAsiaTheme="minorHAnsi" w:hAnsi="Arial" w:cs="Arial"/>
          <w:sz w:val="22"/>
          <w:szCs w:val="22"/>
          <w:lang w:val="en-GB"/>
        </w:rPr>
        <w:t xml:space="preserve"> Negotiable depending on experience </w:t>
      </w:r>
    </w:p>
    <w:p w14:paraId="5C844AAB" w14:textId="77777777" w:rsidR="008C1CA4" w:rsidRDefault="008C1CA4" w:rsidP="008C1CA4">
      <w:pPr>
        <w:spacing w:before="18" w:line="240" w:lineRule="exact"/>
        <w:rPr>
          <w:rFonts w:ascii="Arial" w:eastAsiaTheme="minorHAnsi" w:hAnsi="Arial" w:cs="Arial"/>
          <w:sz w:val="22"/>
          <w:szCs w:val="22"/>
          <w:lang w:val="en-GB"/>
        </w:rPr>
      </w:pPr>
    </w:p>
    <w:p w14:paraId="5A316A32" w14:textId="5BE172F2" w:rsidR="008C1CA4" w:rsidRPr="008C1CA4" w:rsidRDefault="008C1CA4" w:rsidP="008C1CA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Clinical Pharmacist will be employed by the Claypath and University Medical Group </w:t>
      </w:r>
      <w:r w:rsidR="00E32021">
        <w:rPr>
          <w:rFonts w:ascii="Arial" w:hAnsi="Arial" w:cs="Arial"/>
          <w:sz w:val="22"/>
          <w:szCs w:val="22"/>
        </w:rPr>
        <w:t>to work for the</w:t>
      </w:r>
      <w:r>
        <w:rPr>
          <w:rFonts w:ascii="Arial" w:hAnsi="Arial" w:cs="Arial"/>
          <w:sz w:val="22"/>
          <w:szCs w:val="22"/>
        </w:rPr>
        <w:t xml:space="preserve"> Claypath and University Primary Care Network.   </w:t>
      </w:r>
      <w:r w:rsidRPr="008C1CA4">
        <w:rPr>
          <w:rFonts w:ascii="Arial" w:hAnsi="Arial" w:cs="Arial"/>
          <w:sz w:val="22"/>
          <w:szCs w:val="22"/>
        </w:rPr>
        <w:t xml:space="preserve">Direct line management and supervision will be provided by the </w:t>
      </w:r>
      <w:r w:rsidR="00B16DF1">
        <w:rPr>
          <w:rFonts w:ascii="Arial" w:hAnsi="Arial" w:cs="Arial"/>
          <w:sz w:val="22"/>
          <w:szCs w:val="22"/>
        </w:rPr>
        <w:t>GP Partner/Prescribing Lead, Claypath and University Medical Group</w:t>
      </w:r>
      <w:r w:rsidRPr="008C1CA4">
        <w:rPr>
          <w:rFonts w:ascii="Arial" w:hAnsi="Arial" w:cs="Arial"/>
          <w:sz w:val="22"/>
          <w:szCs w:val="22"/>
        </w:rPr>
        <w:t xml:space="preserve">. </w:t>
      </w:r>
    </w:p>
    <w:p w14:paraId="34C3E578" w14:textId="77777777" w:rsidR="008C1CA4" w:rsidRDefault="008C1CA4" w:rsidP="008C1CA4">
      <w:pPr>
        <w:spacing w:before="18" w:line="240" w:lineRule="exact"/>
        <w:rPr>
          <w:rFonts w:ascii="Arial" w:eastAsiaTheme="minorHAnsi" w:hAnsi="Arial" w:cs="Arial"/>
          <w:sz w:val="22"/>
          <w:szCs w:val="22"/>
          <w:lang w:val="en-GB"/>
        </w:rPr>
      </w:pPr>
    </w:p>
    <w:p w14:paraId="5A46F63F" w14:textId="77777777" w:rsidR="00ED77F9" w:rsidRDefault="008C1CA4" w:rsidP="008C1CA4">
      <w:pPr>
        <w:spacing w:before="18" w:line="240" w:lineRule="exact"/>
        <w:rPr>
          <w:sz w:val="24"/>
          <w:szCs w:val="24"/>
        </w:rPr>
      </w:pPr>
      <w:r w:rsidRPr="008C1CA4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br/>
      </w:r>
      <w:r w:rsidRPr="008C1CA4">
        <w:rPr>
          <w:rFonts w:ascii="Arial" w:eastAsiaTheme="minorHAnsi" w:hAnsi="Arial" w:cs="Arial"/>
          <w:b/>
          <w:sz w:val="28"/>
          <w:szCs w:val="28"/>
          <w:lang w:val="en-GB"/>
        </w:rPr>
        <w:t xml:space="preserve">Job </w:t>
      </w:r>
      <w:r w:rsidR="005B4D1B">
        <w:rPr>
          <w:rFonts w:ascii="Arial" w:eastAsiaTheme="minorHAnsi" w:hAnsi="Arial" w:cs="Arial"/>
          <w:b/>
          <w:sz w:val="28"/>
          <w:szCs w:val="28"/>
          <w:lang w:val="en-GB"/>
        </w:rPr>
        <w:t>Purpose</w:t>
      </w:r>
      <w:r w:rsidRPr="008C1CA4">
        <w:rPr>
          <w:rFonts w:ascii="Arial" w:eastAsiaTheme="minorHAnsi" w:hAnsi="Arial" w:cs="Arial"/>
          <w:b/>
          <w:sz w:val="28"/>
          <w:szCs w:val="28"/>
          <w:lang w:val="en-GB"/>
        </w:rPr>
        <w:t>:</w:t>
      </w:r>
      <w:r w:rsidRPr="008C1CA4">
        <w:rPr>
          <w:rFonts w:ascii="Arial" w:eastAsiaTheme="minorHAnsi" w:hAnsi="Arial" w:cs="Arial"/>
          <w:b/>
          <w:sz w:val="24"/>
          <w:szCs w:val="24"/>
          <w:lang w:val="en-GB"/>
        </w:rPr>
        <w:br/>
      </w:r>
    </w:p>
    <w:p w14:paraId="6F61BDEE" w14:textId="77777777" w:rsidR="00ED77F9" w:rsidRDefault="000E3DF4" w:rsidP="00ED77F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</w:t>
      </w:r>
      <w:r w:rsidR="0037435F">
        <w:rPr>
          <w:rFonts w:ascii="Arial" w:hAnsi="Arial" w:cs="Arial"/>
          <w:sz w:val="22"/>
          <w:szCs w:val="22"/>
        </w:rPr>
        <w:t>within clinical and professional boundaries in a patient facing role</w:t>
      </w:r>
      <w:r>
        <w:rPr>
          <w:rFonts w:ascii="Arial" w:hAnsi="Arial" w:cs="Arial"/>
          <w:sz w:val="22"/>
          <w:szCs w:val="22"/>
        </w:rPr>
        <w:t>,</w:t>
      </w:r>
      <w:r w:rsidR="0037435F">
        <w:rPr>
          <w:rFonts w:ascii="Arial" w:hAnsi="Arial" w:cs="Arial"/>
          <w:sz w:val="22"/>
          <w:szCs w:val="22"/>
        </w:rPr>
        <w:t xml:space="preserve"> as part of a multi-disciplinary team</w:t>
      </w:r>
      <w:r>
        <w:rPr>
          <w:rFonts w:ascii="Arial" w:hAnsi="Arial" w:cs="Arial"/>
          <w:sz w:val="22"/>
          <w:szCs w:val="22"/>
        </w:rPr>
        <w:t>,</w:t>
      </w:r>
      <w:r w:rsidR="0037435F">
        <w:rPr>
          <w:rFonts w:ascii="Arial" w:hAnsi="Arial" w:cs="Arial"/>
          <w:sz w:val="22"/>
          <w:szCs w:val="22"/>
        </w:rPr>
        <w:t xml:space="preserve"> to manage medicines on transfer of care and systems for safer prescribing.  </w:t>
      </w:r>
    </w:p>
    <w:p w14:paraId="13C034A5" w14:textId="77777777" w:rsidR="0037435F" w:rsidRDefault="0037435F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4FB0680B" w14:textId="77777777" w:rsidR="0037435F" w:rsidRPr="0037435F" w:rsidRDefault="000E3DF4" w:rsidP="0037435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To p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erform face-to-face medication review</w:t>
      </w:r>
      <w:r>
        <w:rPr>
          <w:rFonts w:ascii="Arial" w:hAnsi="Arial" w:cs="Arial"/>
          <w:sz w:val="22"/>
          <w:szCs w:val="22"/>
          <w:shd w:val="clear" w:color="auto" w:fill="FFFFFF"/>
        </w:rPr>
        <w:t>s of patients with polypharmacy -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especially for those with frailty and/or with multiple co-morbidities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as well as undertaking reviews of patients with specific long term c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onditions that fall within 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competency.  </w:t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</w:p>
    <w:p w14:paraId="3D94607D" w14:textId="2A0DF1F3" w:rsidR="0037435F" w:rsidRPr="0037435F" w:rsidRDefault="000E3DF4" w:rsidP="0037435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To w</w:t>
      </w:r>
      <w:r w:rsidR="003E5910">
        <w:rPr>
          <w:rFonts w:ascii="Arial" w:hAnsi="Arial" w:cs="Arial"/>
          <w:sz w:val="22"/>
          <w:szCs w:val="22"/>
          <w:shd w:val="clear" w:color="auto" w:fill="FFFFFF"/>
        </w:rPr>
        <w:t>ork in partnership with stake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holder </w:t>
      </w:r>
      <w:proofErr w:type="spellStart"/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organisations</w:t>
      </w:r>
      <w:proofErr w:type="spellEnd"/>
      <w:r w:rsidR="003E5910">
        <w:rPr>
          <w:rFonts w:ascii="Arial" w:hAnsi="Arial" w:cs="Arial"/>
          <w:sz w:val="22"/>
          <w:szCs w:val="22"/>
          <w:shd w:val="clear" w:color="auto" w:fill="FFFFFF"/>
        </w:rPr>
        <w:t xml:space="preserve"> t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o improve the safety and quality of care for patients and manage medicines on transfer of care. </w:t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To c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ontribute to quality improvement and clinical audit, as well as supporting aspects of the </w:t>
      </w:r>
      <w:r w:rsidR="0037435F" w:rsidRPr="0037435F">
        <w:rPr>
          <w:rFonts w:ascii="Arial" w:hAnsi="Arial" w:cs="Arial"/>
          <w:sz w:val="22"/>
          <w:szCs w:val="22"/>
        </w:rPr>
        <w:t>Quality and Outcomes Framework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, medicines safety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and antibiotic stewardship. </w:t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To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contribute towards practice financial stability through medicines optimi</w:t>
      </w:r>
      <w:r w:rsidR="002A7944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ation and related targets in QOF.</w:t>
      </w:r>
    </w:p>
    <w:p w14:paraId="004663DF" w14:textId="77777777" w:rsidR="0037435F" w:rsidRDefault="0037435F" w:rsidP="0037435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The post holder will comply with the </w:t>
      </w:r>
      <w:proofErr w:type="spellStart"/>
      <w:r w:rsidRPr="0037435F">
        <w:rPr>
          <w:rFonts w:ascii="Arial" w:hAnsi="Arial" w:cs="Arial"/>
          <w:sz w:val="22"/>
          <w:szCs w:val="22"/>
          <w:shd w:val="clear" w:color="auto" w:fill="FFFFFF"/>
        </w:rPr>
        <w:t>organisation’s</w:t>
      </w:r>
      <w:proofErr w:type="spellEnd"/>
      <w:r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policies and procedures.</w:t>
      </w:r>
    </w:p>
    <w:p w14:paraId="277207ED" w14:textId="77777777" w:rsidR="000E3DF4" w:rsidRDefault="000E3DF4" w:rsidP="0037435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CA6E57D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09BEE533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B6B8182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665449F7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4AA67EBE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0591C15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6DB04C5" w14:textId="0A20A9B1" w:rsidR="0037435F" w:rsidRPr="000E3DF4" w:rsidRDefault="000E3DF4" w:rsidP="0037435F">
      <w:pP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eastAsiaTheme="minorHAnsi" w:hAnsi="Arial" w:cs="Arial"/>
          <w:b/>
          <w:sz w:val="28"/>
          <w:szCs w:val="28"/>
          <w:lang w:val="en-GB"/>
        </w:rPr>
        <w:lastRenderedPageBreak/>
        <w:t>Main Duties and Areas of Responsibility</w:t>
      </w:r>
      <w:r w:rsidRPr="008C1CA4">
        <w:rPr>
          <w:rFonts w:ascii="Arial" w:eastAsiaTheme="minorHAnsi" w:hAnsi="Arial" w:cs="Arial"/>
          <w:b/>
          <w:sz w:val="28"/>
          <w:szCs w:val="28"/>
          <w:lang w:val="en-GB"/>
        </w:rPr>
        <w:t>:</w:t>
      </w:r>
      <w:r w:rsidRPr="008C1CA4">
        <w:rPr>
          <w:rFonts w:ascii="Arial" w:eastAsiaTheme="minorHAnsi" w:hAnsi="Arial" w:cs="Arial"/>
          <w:b/>
          <w:sz w:val="24"/>
          <w:szCs w:val="24"/>
          <w:lang w:val="en-GB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53"/>
        <w:gridCol w:w="6563"/>
      </w:tblGrid>
      <w:tr w:rsidR="0037435F" w:rsidRPr="0014597F" w14:paraId="6ADE583D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B882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Patient facing - long-term condition clinics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1CE1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Working within the practice based team to undertake medication reviews particularly in high risk groups such as: </w:t>
            </w:r>
            <w:r>
              <w:rPr>
                <w:sz w:val="22"/>
                <w:szCs w:val="22"/>
              </w:rPr>
              <w:br/>
            </w:r>
          </w:p>
          <w:p w14:paraId="7DC9D2C7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Frail elderly </w:t>
            </w:r>
          </w:p>
          <w:p w14:paraId="42A823FD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Poly-pharmacy </w:t>
            </w:r>
          </w:p>
          <w:p w14:paraId="477978F3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Renal impairment </w:t>
            </w:r>
          </w:p>
          <w:p w14:paraId="1A21EC87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Hepatic impairment </w:t>
            </w:r>
          </w:p>
          <w:p w14:paraId="227BC040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Substance misuse </w:t>
            </w:r>
          </w:p>
          <w:p w14:paraId="008B1C7D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Patients on high risk medicines </w:t>
            </w:r>
          </w:p>
          <w:p w14:paraId="73D09497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STOPP/START identified patients </w:t>
            </w:r>
          </w:p>
          <w:p w14:paraId="23E15301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- Revolving door Hospital admissions </w:t>
            </w:r>
            <w:r w:rsidR="003E5910">
              <w:rPr>
                <w:rFonts w:ascii="Arial" w:hAnsi="Arial" w:cs="Arial"/>
                <w:sz w:val="22"/>
                <w:szCs w:val="22"/>
              </w:rPr>
              <w:br/>
            </w:r>
          </w:p>
          <w:p w14:paraId="163A0CD5" w14:textId="67030AB4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Review the on-going need for each medicine, a review of monitoring needs and an opportunity to support patients with their medicines ensuring they get the best use of their medicines (</w:t>
            </w:r>
            <w:proofErr w:type="gramStart"/>
            <w:r w:rsidRPr="0037435F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37435F">
              <w:rPr>
                <w:rFonts w:ascii="Arial" w:hAnsi="Arial" w:cs="Arial"/>
                <w:sz w:val="22"/>
                <w:szCs w:val="22"/>
              </w:rPr>
              <w:t xml:space="preserve"> medicines optimi</w:t>
            </w:r>
            <w:r w:rsidR="002A7944">
              <w:rPr>
                <w:rFonts w:ascii="Arial" w:hAnsi="Arial" w:cs="Arial"/>
                <w:sz w:val="22"/>
                <w:szCs w:val="22"/>
              </w:rPr>
              <w:t>z</w:t>
            </w:r>
            <w:r w:rsidRPr="0037435F">
              <w:rPr>
                <w:rFonts w:ascii="Arial" w:hAnsi="Arial" w:cs="Arial"/>
                <w:sz w:val="22"/>
                <w:szCs w:val="22"/>
              </w:rPr>
              <w:t xml:space="preserve">ation). </w:t>
            </w:r>
          </w:p>
          <w:p w14:paraId="4C0AF516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91F30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Make appropriate recommendations to GPs for medicine improvement.</w:t>
            </w:r>
          </w:p>
        </w:tc>
      </w:tr>
      <w:tr w:rsidR="0037435F" w:rsidRPr="0014597F" w14:paraId="589EED41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1A43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Patient facing - Clinical Medication Review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7126" w14:textId="77777777" w:rsid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Undertake clinical medication reviews with patients and produce recommendations for nurses and/or GPs on prescribing and monitoring. </w:t>
            </w:r>
          </w:p>
          <w:p w14:paraId="28D9C5E7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</w:p>
          <w:p w14:paraId="4589F593" w14:textId="77777777" w:rsidR="0037435F" w:rsidRPr="0037435F" w:rsidRDefault="0037435F" w:rsidP="0037435F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>This would be a level 3 clinical medication review looking at the patient’s full clinical condition, blood monitoring, interface care arrangements, social isolation etc.</w:t>
            </w:r>
            <w:r>
              <w:rPr>
                <w:sz w:val="22"/>
                <w:szCs w:val="22"/>
              </w:rPr>
              <w:t>,</w:t>
            </w:r>
            <w:r w:rsidRPr="0037435F">
              <w:rPr>
                <w:sz w:val="22"/>
                <w:szCs w:val="22"/>
              </w:rPr>
              <w:t xml:space="preserve"> including reducing inappropriate polypharmacy and wasteful prescribing.</w:t>
            </w:r>
          </w:p>
        </w:tc>
      </w:tr>
      <w:tr w:rsidR="0037435F" w:rsidRPr="0014597F" w14:paraId="6C2DA08E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C32F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Care Home Medication Reviews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C37C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Undertake clinical medication reviews and produce recommendations for nurses or GPs on prescribing and monitoring. </w:t>
            </w:r>
          </w:p>
          <w:p w14:paraId="77F4249D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Work with care home staff to improve safety of medicines ordering and administration.</w:t>
            </w:r>
          </w:p>
        </w:tc>
      </w:tr>
      <w:tr w:rsidR="0037435F" w:rsidRPr="0014597F" w14:paraId="26F605C7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5BCD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Management of common/minor/self-limiting ailments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96D3" w14:textId="77777777" w:rsid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Managing caseload of patients with common/minor/self-limiting </w:t>
            </w:r>
            <w:r>
              <w:rPr>
                <w:rFonts w:ascii="Arial" w:hAnsi="Arial" w:cs="Arial"/>
                <w:sz w:val="22"/>
                <w:szCs w:val="22"/>
              </w:rPr>
              <w:t xml:space="preserve">ailments while working within </w:t>
            </w:r>
            <w:r w:rsidRPr="0037435F">
              <w:rPr>
                <w:rFonts w:ascii="Arial" w:hAnsi="Arial" w:cs="Arial"/>
                <w:sz w:val="22"/>
                <w:szCs w:val="22"/>
              </w:rPr>
              <w:t>scope of practice and limits of competence.</w:t>
            </w:r>
          </w:p>
          <w:p w14:paraId="2A59DDD7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05BFE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Signposting to community pharmacy and referring to GPs or other healthcare professionals where appropriate.</w:t>
            </w:r>
          </w:p>
        </w:tc>
      </w:tr>
      <w:tr w:rsidR="0037435F" w:rsidRPr="0014597F" w14:paraId="1FE1B370" w14:textId="77777777" w:rsidTr="00E32021">
        <w:trPr>
          <w:trHeight w:val="7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95A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Patient facing medicines support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752A" w14:textId="77777777" w:rsidR="0037435F" w:rsidRPr="0037435F" w:rsidRDefault="0037435F" w:rsidP="0037435F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Provide patient facing clinics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practice </w:t>
            </w:r>
            <w:r w:rsidRPr="0037435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patients who have</w:t>
            </w:r>
            <w:r w:rsidRPr="0037435F">
              <w:rPr>
                <w:rFonts w:ascii="Arial" w:hAnsi="Arial" w:cs="Arial"/>
                <w:sz w:val="22"/>
                <w:szCs w:val="22"/>
              </w:rPr>
              <w:t xml:space="preserve"> questions, queries and concerns about their medicines </w:t>
            </w:r>
          </w:p>
        </w:tc>
      </w:tr>
      <w:tr w:rsidR="0037435F" w:rsidRPr="0014597F" w14:paraId="34D6B7CA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7BC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Telephone medicines support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0C0B" w14:textId="77777777" w:rsid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Provide a telephone help line for patients with questions, queries and</w:t>
            </w:r>
            <w:r w:rsidR="003E5910">
              <w:rPr>
                <w:rFonts w:ascii="Arial" w:hAnsi="Arial" w:cs="Arial"/>
                <w:sz w:val="22"/>
                <w:szCs w:val="22"/>
              </w:rPr>
              <w:t xml:space="preserve"> concerns about their medicines.</w:t>
            </w:r>
          </w:p>
          <w:p w14:paraId="1D03C62F" w14:textId="77777777" w:rsidR="003E5910" w:rsidRPr="0037435F" w:rsidRDefault="003E5910" w:rsidP="00591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35F" w:rsidRPr="0014597F" w14:paraId="581AC0C5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B7F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Medicine information to practice staff and patients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2C2E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Answers relevant medicine-related enquiries from GPs, other practice staff, other healthcare teams (e.g. community pharmacy) and patien</w:t>
            </w:r>
            <w:r>
              <w:rPr>
                <w:rFonts w:ascii="Arial" w:hAnsi="Arial" w:cs="Arial"/>
                <w:sz w:val="22"/>
                <w:szCs w:val="22"/>
              </w:rPr>
              <w:t>ts with queries about medicines, s</w:t>
            </w:r>
            <w:r w:rsidRPr="0037435F">
              <w:rPr>
                <w:rFonts w:ascii="Arial" w:hAnsi="Arial" w:cs="Arial"/>
                <w:sz w:val="22"/>
                <w:szCs w:val="22"/>
              </w:rPr>
              <w:t>uggesting and recommending solu</w:t>
            </w:r>
            <w:r>
              <w:rPr>
                <w:rFonts w:ascii="Arial" w:hAnsi="Arial" w:cs="Arial"/>
                <w:sz w:val="22"/>
                <w:szCs w:val="22"/>
              </w:rPr>
              <w:t>tions, p</w:t>
            </w:r>
            <w:r w:rsidRPr="0037435F">
              <w:rPr>
                <w:rFonts w:ascii="Arial" w:hAnsi="Arial" w:cs="Arial"/>
                <w:sz w:val="22"/>
                <w:szCs w:val="22"/>
              </w:rPr>
              <w:t>roviding follow</w:t>
            </w:r>
            <w:r>
              <w:rPr>
                <w:rFonts w:ascii="Arial" w:hAnsi="Arial" w:cs="Arial"/>
                <w:sz w:val="22"/>
                <w:szCs w:val="22"/>
              </w:rPr>
              <w:t xml:space="preserve">-up for patients to monitor the </w:t>
            </w:r>
            <w:r w:rsidRPr="0037435F">
              <w:rPr>
                <w:rFonts w:ascii="Arial" w:hAnsi="Arial" w:cs="Arial"/>
                <w:sz w:val="22"/>
                <w:szCs w:val="22"/>
              </w:rPr>
              <w:t>effect of any changes.</w:t>
            </w:r>
          </w:p>
        </w:tc>
      </w:tr>
      <w:tr w:rsidR="0037435F" w:rsidRPr="0014597F" w14:paraId="2C100C8A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1A50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Unplanned hospital admissions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33F" w14:textId="77777777" w:rsid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Review the use of medicines most commonly associated with unplanned hospital admissions and readmissions through audit and individual patient revi</w:t>
            </w:r>
            <w:r>
              <w:rPr>
                <w:rFonts w:ascii="Arial" w:hAnsi="Arial" w:cs="Arial"/>
                <w:sz w:val="22"/>
                <w:szCs w:val="22"/>
              </w:rPr>
              <w:t>ew.</w:t>
            </w:r>
          </w:p>
          <w:p w14:paraId="3CF2DCF7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3CAEB" w14:textId="77777777" w:rsid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Put in place changes to reduce the prescribing of these medicines to high-risk patient groups.</w:t>
            </w:r>
          </w:p>
          <w:p w14:paraId="2E5C7562" w14:textId="77777777" w:rsidR="003E5910" w:rsidRPr="0037435F" w:rsidRDefault="003E5910" w:rsidP="00591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A62" w:rsidRPr="0014597F" w14:paraId="132456E4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F19" w14:textId="77777777" w:rsidR="00CA3A62" w:rsidRPr="0037435F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Management of medicines at discharge from  hospital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189" w14:textId="6AEA5BB3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reconcile medicines following discharge from hospital</w:t>
            </w:r>
            <w:r w:rsidR="002A794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intermediate care and into care homes, including identifying and rectifying unexplained changes and working with patients and community pharmacists to ensure patients receive the medicines they need post discharge.</w:t>
            </w:r>
          </w:p>
          <w:p w14:paraId="7E217D8E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ABA27" w14:textId="77777777" w:rsidR="00CA3A62" w:rsidRPr="0037435F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and manage systems to ensure continuity of medicines supply to high risk groups of patients e.g. those with medicine compliance aids or those in care homes.</w:t>
            </w:r>
          </w:p>
        </w:tc>
      </w:tr>
      <w:tr w:rsidR="00CA3A62" w:rsidRPr="0014597F" w14:paraId="6FC912CF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1CE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Interface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8E3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Interface with community and hospital pharmacy colleagues and develop referral processes between primary care professionals including the promotion of the repeat dispensing service. </w:t>
            </w:r>
          </w:p>
        </w:tc>
      </w:tr>
      <w:tr w:rsidR="00CA3A62" w:rsidRPr="0014597F" w14:paraId="08AC0D55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344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Signposting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91E" w14:textId="77777777" w:rsidR="00CA3A62" w:rsidRDefault="00CA3A62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patients are referred to an appropriate healthcare professional for an appropriate level of care within an appropriate period of time e.g. pathology results, common/minor ailments, acute conditions, long-term condition reviews, etc.</w:t>
            </w:r>
          </w:p>
        </w:tc>
      </w:tr>
      <w:tr w:rsidR="00CA3A62" w:rsidRPr="0014597F" w14:paraId="0543DBE4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9A7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Prescribing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937" w14:textId="77777777" w:rsidR="00CA3A62" w:rsidRDefault="00CA3A62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Participate in the repeat prescribing reauthorization process by reviewing patient requests for repeat prescriptions and reviewing medicines reaching review dates, flagging up those needing a review.  Ensure patients have appropriate monitoring tests in place when required. </w:t>
            </w:r>
          </w:p>
        </w:tc>
      </w:tr>
      <w:tr w:rsidR="00CA3A62" w:rsidRPr="0014597F" w14:paraId="213C1DE1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331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stratification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C78" w14:textId="77777777" w:rsidR="00CA3A62" w:rsidRDefault="00CA3A62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Identification of cohorts of patients at high risk of harm from medicines through practice computer searches.  This might include risks that are patient related, medicine related, or both. </w:t>
            </w:r>
          </w:p>
        </w:tc>
      </w:tr>
      <w:tr w:rsidR="00CA3A62" w:rsidRPr="0014597F" w14:paraId="18A825D9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2C1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development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A8F" w14:textId="77777777" w:rsidR="00CA3A62" w:rsidRDefault="00CA3A62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pharmaceutical advice for the development and implementation of new services that have medicinal components e.g. advice on treatment pathways and patient information leaflets.</w:t>
            </w:r>
          </w:p>
        </w:tc>
      </w:tr>
      <w:tr w:rsidR="00CA3A62" w:rsidRPr="0014597F" w14:paraId="67A78DA9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017" w14:textId="77777777" w:rsidR="00CA3A62" w:rsidRDefault="00027805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management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60E" w14:textId="77777777" w:rsidR="00CA3A62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interpret and present medicines data to highlight issues and risks to support decision making.</w:t>
            </w:r>
          </w:p>
        </w:tc>
      </w:tr>
      <w:tr w:rsidR="00027805" w:rsidRPr="0014597F" w14:paraId="49302AB3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FC9" w14:textId="77777777" w:rsidR="00027805" w:rsidRDefault="00027805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Medicines quality improvement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15E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Undertake clinical audits of prescribing in areas directed by the GPs, feedback the results and implement changes in conjunction with the practice team. </w:t>
            </w:r>
          </w:p>
        </w:tc>
      </w:tr>
      <w:tr w:rsidR="00027805" w:rsidRPr="0014597F" w14:paraId="338219D8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010" w14:textId="77777777" w:rsidR="00027805" w:rsidRDefault="00027805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Medicines safety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A40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changes to medicines that result from MHRA alerts, product withdrawal and other local and national guidance.</w:t>
            </w:r>
          </w:p>
          <w:p w14:paraId="53649D6E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8592E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safe and effective prescribing through mechanisms such as audit.  Improve quality in prescribing using Quality Improvement methodology including the use of Plan Do Study Act (PDSA) cycles.</w:t>
            </w:r>
          </w:p>
        </w:tc>
      </w:tr>
      <w:tr w:rsidR="00027805" w:rsidRPr="0014597F" w14:paraId="6B878EAE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F09" w14:textId="77777777" w:rsidR="00027805" w:rsidRDefault="00027805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of local and national guidelines</w:t>
            </w:r>
            <w:r w:rsidR="00884CD1">
              <w:rPr>
                <w:rFonts w:ascii="Arial" w:hAnsi="Arial" w:cs="Arial"/>
                <w:sz w:val="22"/>
                <w:szCs w:val="22"/>
              </w:rPr>
              <w:t xml:space="preserve"> and formulary recommendations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E65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 practice prescribing and make recommendations to GPs for medicines that should be prescribed by hospital doctors or subject to </w:t>
            </w:r>
            <w:r w:rsidR="00884CD1">
              <w:rPr>
                <w:rFonts w:ascii="Arial" w:hAnsi="Arial" w:cs="Arial"/>
                <w:sz w:val="22"/>
                <w:szCs w:val="22"/>
              </w:rPr>
              <w:t>shared care.</w:t>
            </w:r>
          </w:p>
          <w:p w14:paraId="453F1663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AAACF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practice’s compliance against NICE guidelines.</w:t>
            </w:r>
          </w:p>
        </w:tc>
      </w:tr>
      <w:tr w:rsidR="00884CD1" w:rsidRPr="0014597F" w14:paraId="70DB4EFC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DFD" w14:textId="77777777" w:rsidR="00884CD1" w:rsidRDefault="00884CD1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897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education and training to primary health care team on therapeutics and medicines optimization.</w:t>
            </w:r>
          </w:p>
        </w:tc>
      </w:tr>
      <w:tr w:rsidR="00884CD1" w:rsidRPr="0014597F" w14:paraId="3CE3B39F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A5A" w14:textId="77777777" w:rsidR="00884CD1" w:rsidRDefault="00884CD1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Quality Commission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B76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general practice team to ensure the practice is compliant with CQC standards where medicines are involved.</w:t>
            </w:r>
          </w:p>
        </w:tc>
      </w:tr>
      <w:tr w:rsidR="00884CD1" w:rsidRPr="0014597F" w14:paraId="54D0B1B2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7DE" w14:textId="77777777" w:rsidR="00884CD1" w:rsidRDefault="00884CD1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F9A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 public health campaigns.</w:t>
            </w:r>
          </w:p>
          <w:p w14:paraId="2439BA61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FD023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specialist knowledge on all public health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available to the general public. </w:t>
            </w:r>
          </w:p>
        </w:tc>
      </w:tr>
    </w:tbl>
    <w:p w14:paraId="653DD17A" w14:textId="77777777" w:rsidR="0037435F" w:rsidRDefault="0037435F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0F9A3108" w14:textId="77777777" w:rsidR="0037435F" w:rsidRDefault="0037435F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2957AF1D" w14:textId="77777777" w:rsidR="000E3DF4" w:rsidRDefault="000E3DF4" w:rsidP="00ED77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23E5AFA6" w14:textId="77777777" w:rsidR="000E3DF4" w:rsidRDefault="000E3DF4" w:rsidP="00ED77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3D902B0D" w14:textId="77777777" w:rsidR="00D05C73" w:rsidRPr="00D05C73" w:rsidRDefault="00D05C73" w:rsidP="00ED77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05C73">
        <w:rPr>
          <w:rFonts w:ascii="Arial" w:hAnsi="Arial" w:cs="Arial"/>
          <w:b/>
          <w:sz w:val="22"/>
          <w:szCs w:val="22"/>
          <w:u w:val="single"/>
        </w:rPr>
        <w:lastRenderedPageBreak/>
        <w:t>Collaborative Working Relationships</w:t>
      </w:r>
    </w:p>
    <w:p w14:paraId="5ED070F4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Recognise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the roles of other colleagues within the organisation and their role in patient care.</w:t>
      </w:r>
    </w:p>
    <w:p w14:paraId="7D8A3BAB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Demonstrates use of appropriate communication to gain the co-operation of relevant stakeholders (including patients, senior and peer colleagues and other professionals, other NHS/Private organisations, e.g. CCGs).</w:t>
      </w:r>
    </w:p>
    <w:p w14:paraId="3B201911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Demonstrates ability to work as a member of a team.</w:t>
      </w:r>
    </w:p>
    <w:p w14:paraId="596E6416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Is able to recognise personal limitations and refer to more appropriate colleagues when necessary.</w:t>
      </w:r>
    </w:p>
    <w:p w14:paraId="7B0281B2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Actively works towards developing and maintaining effecting working relationships across the </w:t>
      </w:r>
      <w:r>
        <w:rPr>
          <w:rFonts w:ascii="Arial" w:eastAsiaTheme="minorHAnsi" w:hAnsi="Arial" w:cs="Arial"/>
          <w:sz w:val="22"/>
          <w:szCs w:val="22"/>
          <w:lang w:val="en-GB"/>
        </w:rPr>
        <w:t>Primary Care Network.</w:t>
      </w:r>
    </w:p>
    <w:p w14:paraId="2A368479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Foster and maintain strong links with all services across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the 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>locality.</w:t>
      </w:r>
    </w:p>
    <w:p w14:paraId="0884E4B6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Explores the potential for collaborative working and takes opportunities to initiate and sustain such relationships.</w:t>
      </w:r>
    </w:p>
    <w:p w14:paraId="6D46C9EB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Demonstrates ability to integrate general practice with community and hospital pharmacy teams.</w:t>
      </w:r>
    </w:p>
    <w:p w14:paraId="4FBD383A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Liaises with CCG colleagues</w:t>
      </w:r>
      <w:r>
        <w:rPr>
          <w:rFonts w:ascii="Arial" w:eastAsiaTheme="minorHAnsi" w:hAnsi="Arial" w:cs="Arial"/>
          <w:sz w:val="22"/>
          <w:szCs w:val="22"/>
          <w:lang w:val="en-GB"/>
        </w:rPr>
        <w:t>,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including CCG Pharmacists</w:t>
      </w:r>
      <w:r>
        <w:rPr>
          <w:rFonts w:ascii="Arial" w:eastAsiaTheme="minorHAnsi" w:hAnsi="Arial" w:cs="Arial"/>
          <w:sz w:val="22"/>
          <w:szCs w:val="22"/>
          <w:lang w:val="en-GB"/>
        </w:rPr>
        <w:t>,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on prescribing related matters to ensure consistency of patient care and benefit.</w:t>
      </w:r>
    </w:p>
    <w:p w14:paraId="2922ECA7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Liaises with CCG pharmacists and Heads of Medicines Management/Optimisation to benefit from peer support.</w:t>
      </w:r>
    </w:p>
    <w:p w14:paraId="3BDD8581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Liaises with other stakeholders as needed for the collective benefit of patients.</w:t>
      </w:r>
    </w:p>
    <w:p w14:paraId="3C57809A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03ED6C84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D05C73"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  <w:t>Knowledge, Skills and Experience Required</w:t>
      </w:r>
    </w:p>
    <w:p w14:paraId="4668ABE4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Completion of an undergraduate degree in pharmacy and registration with the General Pharmaceutical Council.</w:t>
      </w:r>
    </w:p>
    <w:p w14:paraId="38971C8D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Experience and 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>awareness of common acute and long-term conditions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that are likely to be seen in general p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>ractice.</w:t>
      </w:r>
    </w:p>
    <w:p w14:paraId="182F1515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Has obtained, or is working towards, 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>an independent prescribing qualification.</w:t>
      </w:r>
    </w:p>
    <w:p w14:paraId="61488185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Recognises priorities when problem-solving and identifies deviations from normal pattern and is able to refer to seniors or GPs when appropriate.</w:t>
      </w:r>
    </w:p>
    <w:p w14:paraId="359DC2AE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Able to follow legal, ethical, professional and organisational policies/procedures and codes of conduct.</w:t>
      </w:r>
    </w:p>
    <w:p w14:paraId="00424E41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Involves patients in decisions about prescribed medicines and supporting adherence as per NICE guidelines.</w:t>
      </w:r>
    </w:p>
    <w:p w14:paraId="0AC0BA34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1EB42546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D05C73"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  <w:t>Leadership</w:t>
      </w:r>
    </w:p>
    <w:p w14:paraId="0006C21F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understanding of the pharmacy role in governance and is able to implement this appropriately within the workplace.</w:t>
      </w:r>
    </w:p>
    <w:p w14:paraId="1E51BF5F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understanding of, and contributes to, the workplace vision.</w:t>
      </w:r>
    </w:p>
    <w:p w14:paraId="41275FC4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Demonstrates ability to improve quality within limitations of service.</w:t>
      </w:r>
    </w:p>
    <w:p w14:paraId="1E91AD2C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Reviews yearly progress and develops clear plans to achieve results within priorities set by others.</w:t>
      </w:r>
    </w:p>
    <w:p w14:paraId="55AD2D60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ability to motivate self to achieve goals.</w:t>
      </w:r>
    </w:p>
    <w:p w14:paraId="6FB2A526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Promotes diversity and equality in people management techniques and leads by example. </w:t>
      </w:r>
    </w:p>
    <w:p w14:paraId="33768483" w14:textId="77777777" w:rsidR="00D05C73" w:rsidRDefault="00D05C73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64C66A08" w14:textId="77777777" w:rsidR="000E3DF4" w:rsidRDefault="000E3DF4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2ADEA9F2" w14:textId="77777777" w:rsidR="000E3DF4" w:rsidRDefault="000E3DF4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3B2A781D" w14:textId="77777777" w:rsidR="000E3DF4" w:rsidRPr="00D05C73" w:rsidRDefault="000E3DF4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674ECA26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D05C73"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  <w:lastRenderedPageBreak/>
        <w:t>Management</w:t>
      </w:r>
    </w:p>
    <w:p w14:paraId="54ADF6EF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A31263">
        <w:rPr>
          <w:rFonts w:ascii="Arial" w:hAnsi="Arial" w:cs="Arial"/>
          <w:sz w:val="22"/>
          <w:szCs w:val="22"/>
        </w:rPr>
        <w:t xml:space="preserve"> understanding of the implications of national priorities for the team and/or the service.</w:t>
      </w:r>
    </w:p>
    <w:p w14:paraId="30E71494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A31263">
        <w:rPr>
          <w:rFonts w:ascii="Arial" w:hAnsi="Arial" w:cs="Arial"/>
          <w:sz w:val="22"/>
          <w:szCs w:val="22"/>
        </w:rPr>
        <w:t xml:space="preserve"> understanding of the process for effective resource </w:t>
      </w:r>
      <w:proofErr w:type="spellStart"/>
      <w:r w:rsidRPr="00A31263">
        <w:rPr>
          <w:rFonts w:ascii="Arial" w:hAnsi="Arial" w:cs="Arial"/>
          <w:sz w:val="22"/>
          <w:szCs w:val="22"/>
        </w:rPr>
        <w:t>utilisation</w:t>
      </w:r>
      <w:proofErr w:type="spellEnd"/>
      <w:r w:rsidRPr="00A31263">
        <w:rPr>
          <w:rFonts w:ascii="Arial" w:hAnsi="Arial" w:cs="Arial"/>
          <w:sz w:val="22"/>
          <w:szCs w:val="22"/>
        </w:rPr>
        <w:t>.</w:t>
      </w:r>
    </w:p>
    <w:p w14:paraId="2C0D3EDE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A31263">
        <w:rPr>
          <w:rFonts w:ascii="Arial" w:hAnsi="Arial" w:cs="Arial"/>
          <w:sz w:val="22"/>
          <w:szCs w:val="22"/>
        </w:rPr>
        <w:t xml:space="preserve"> understanding of, and conforms to, relevant standards of practice.</w:t>
      </w:r>
    </w:p>
    <w:p w14:paraId="1331A0F8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identify and resolve risk management issues according to policy/protocol.</w:t>
      </w:r>
    </w:p>
    <w:p w14:paraId="71F90728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 xml:space="preserve">Follows professional and </w:t>
      </w:r>
      <w:proofErr w:type="spellStart"/>
      <w:r w:rsidRPr="00A31263">
        <w:rPr>
          <w:rFonts w:ascii="Arial" w:hAnsi="Arial" w:cs="Arial"/>
          <w:sz w:val="22"/>
          <w:szCs w:val="22"/>
        </w:rPr>
        <w:t>organisational</w:t>
      </w:r>
      <w:proofErr w:type="spellEnd"/>
      <w:r w:rsidRPr="00A31263">
        <w:rPr>
          <w:rFonts w:ascii="Arial" w:hAnsi="Arial" w:cs="Arial"/>
          <w:sz w:val="22"/>
          <w:szCs w:val="22"/>
        </w:rPr>
        <w:t xml:space="preserve"> policies/procedures relating to performance management.</w:t>
      </w:r>
    </w:p>
    <w:p w14:paraId="79948B27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A31263">
        <w:rPr>
          <w:rFonts w:ascii="Arial" w:hAnsi="Arial" w:cs="Arial"/>
          <w:sz w:val="22"/>
          <w:szCs w:val="22"/>
        </w:rPr>
        <w:t xml:space="preserve"> ability to extend boundaries of service delivery within the team.</w:t>
      </w:r>
    </w:p>
    <w:p w14:paraId="52AB60A9" w14:textId="77777777" w:rsidR="00A31263" w:rsidRDefault="00A31263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13A8193A" w14:textId="77777777" w:rsidR="00A31263" w:rsidRDefault="00A31263" w:rsidP="00ED77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A31263">
        <w:rPr>
          <w:rFonts w:ascii="Arial" w:hAnsi="Arial" w:cs="Arial"/>
          <w:b/>
          <w:sz w:val="22"/>
          <w:szCs w:val="22"/>
          <w:u w:val="single"/>
        </w:rPr>
        <w:t>Education, Training and Development</w:t>
      </w:r>
    </w:p>
    <w:p w14:paraId="32DC73C7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Understands and demonstrates the characteristics of a role model to members in the team and/or service.</w:t>
      </w:r>
    </w:p>
    <w:p w14:paraId="4E526B7D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understanding of the mentorship process.</w:t>
      </w:r>
    </w:p>
    <w:p w14:paraId="4AF27E37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ability to conduct teaching and assessment effectively according to a learning plan with supervision from experienced colleagues.</w:t>
      </w:r>
    </w:p>
    <w:p w14:paraId="53E0DBB8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self-development through continuous professional development activity; working alongside colleagues to identify areas to develop.</w:t>
      </w:r>
    </w:p>
    <w:p w14:paraId="745A1694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Participates in the delivery of formal education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F212BD2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an understanding of current educational policies relevant to working areas of practice and keeps up to date with relevant clinical practice.</w:t>
      </w:r>
    </w:p>
    <w:p w14:paraId="769ADB19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appropriate clinical supervision is in place to support development.</w:t>
      </w:r>
    </w:p>
    <w:p w14:paraId="2DD436AF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Enrolled into review and appraisal systems within the Primary Care Network. </w:t>
      </w:r>
    </w:p>
    <w:p w14:paraId="4142A0EE" w14:textId="77777777" w:rsidR="00A31263" w:rsidRPr="00A31263" w:rsidRDefault="00A31263" w:rsidP="003E5910">
      <w:pPr>
        <w:pStyle w:val="NoSpacing"/>
        <w:ind w:left="567" w:hanging="425"/>
        <w:rPr>
          <w:rFonts w:ascii="Arial" w:hAnsi="Arial" w:cs="Arial"/>
          <w:sz w:val="22"/>
          <w:szCs w:val="22"/>
        </w:rPr>
      </w:pPr>
    </w:p>
    <w:p w14:paraId="34249DA2" w14:textId="77777777" w:rsidR="00A31263" w:rsidRPr="00A31263" w:rsidRDefault="00A31263" w:rsidP="00A31263">
      <w:pPr>
        <w:rPr>
          <w:rFonts w:ascii="Arial" w:hAnsi="Arial" w:cs="Arial"/>
          <w:b/>
          <w:sz w:val="22"/>
          <w:szCs w:val="22"/>
          <w:u w:val="single"/>
        </w:rPr>
      </w:pPr>
      <w:r w:rsidRPr="00A31263">
        <w:rPr>
          <w:rFonts w:ascii="Arial" w:hAnsi="Arial" w:cs="Arial"/>
          <w:b/>
          <w:sz w:val="22"/>
          <w:szCs w:val="22"/>
          <w:u w:val="single"/>
        </w:rPr>
        <w:t>Research and Evaluation</w:t>
      </w:r>
    </w:p>
    <w:p w14:paraId="7BC01B27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critically evaluate and review literature.</w:t>
      </w:r>
    </w:p>
    <w:p w14:paraId="13DE9611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identify where there is a gap in the evidence base to support the practice.</w:t>
      </w:r>
    </w:p>
    <w:p w14:paraId="5D2FB70E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generate evidence suitable for presentations at practice and local level.</w:t>
      </w:r>
    </w:p>
    <w:p w14:paraId="0A8E8CB9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apply research evidence base into working place.</w:t>
      </w:r>
    </w:p>
    <w:p w14:paraId="19B9599F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understanding of principles of research governance.</w:t>
      </w:r>
    </w:p>
    <w:p w14:paraId="76AFD604" w14:textId="77777777" w:rsidR="00A31263" w:rsidRPr="00A31263" w:rsidRDefault="00A31263" w:rsidP="00A31263">
      <w:pPr>
        <w:rPr>
          <w:rFonts w:ascii="Arial" w:hAnsi="Arial" w:cs="Arial"/>
          <w:b/>
          <w:sz w:val="22"/>
          <w:szCs w:val="22"/>
          <w:u w:val="single"/>
        </w:rPr>
      </w:pPr>
    </w:p>
    <w:p w14:paraId="52B24C91" w14:textId="77777777" w:rsidR="00A31263" w:rsidRPr="00182DE0" w:rsidRDefault="00A31263" w:rsidP="00182DE0">
      <w:pPr>
        <w:rPr>
          <w:rFonts w:ascii="Arial" w:hAnsi="Arial" w:cs="Arial"/>
          <w:b/>
          <w:sz w:val="22"/>
          <w:szCs w:val="22"/>
          <w:u w:val="single"/>
        </w:rPr>
      </w:pPr>
      <w:r w:rsidRPr="00A31263">
        <w:rPr>
          <w:rFonts w:ascii="Arial" w:hAnsi="Arial" w:cs="Arial"/>
          <w:b/>
          <w:sz w:val="22"/>
          <w:szCs w:val="22"/>
          <w:u w:val="single"/>
        </w:rPr>
        <w:t>Health and Safety/Risk Management</w:t>
      </w:r>
    </w:p>
    <w:p w14:paraId="1D302CEC" w14:textId="77777777" w:rsidR="00182DE0" w:rsidRPr="00182DE0" w:rsidRDefault="00182DE0" w:rsidP="00182DE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 xml:space="preserve">The post-holder must comply at all times with the Practice’s Health and Safety policies, in particular by following agreed safe working procedures and reporting incidents using the </w:t>
      </w:r>
      <w:r>
        <w:rPr>
          <w:rFonts w:ascii="Arial" w:hAnsi="Arial" w:cs="Arial"/>
          <w:sz w:val="22"/>
          <w:szCs w:val="22"/>
        </w:rPr>
        <w:t>practice’s</w:t>
      </w:r>
      <w:r w:rsidRPr="00182DE0">
        <w:rPr>
          <w:rFonts w:ascii="Arial" w:hAnsi="Arial" w:cs="Arial"/>
          <w:sz w:val="22"/>
          <w:szCs w:val="22"/>
        </w:rPr>
        <w:t xml:space="preserve"> Incident Reporting System.</w:t>
      </w:r>
    </w:p>
    <w:p w14:paraId="5C380FD5" w14:textId="77777777" w:rsidR="00182DE0" w:rsidRPr="00182DE0" w:rsidRDefault="00182DE0" w:rsidP="00182DE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The post holder will comply with the Data Protection Act (2018) and the Access to Health Records Act (1990).</w:t>
      </w:r>
    </w:p>
    <w:p w14:paraId="6DC43DC3" w14:textId="77777777" w:rsidR="00182DE0" w:rsidRPr="00182DE0" w:rsidRDefault="00182DE0" w:rsidP="00182DE0">
      <w:pPr>
        <w:rPr>
          <w:rFonts w:ascii="Arial" w:hAnsi="Arial" w:cs="Arial"/>
          <w:sz w:val="22"/>
          <w:szCs w:val="22"/>
        </w:rPr>
      </w:pPr>
    </w:p>
    <w:p w14:paraId="1C824473" w14:textId="77777777" w:rsidR="00182DE0" w:rsidRPr="00182DE0" w:rsidRDefault="00182DE0" w:rsidP="00182DE0">
      <w:pPr>
        <w:rPr>
          <w:rFonts w:ascii="Arial" w:hAnsi="Arial" w:cs="Arial"/>
          <w:b/>
          <w:sz w:val="22"/>
          <w:szCs w:val="22"/>
          <w:u w:val="single"/>
        </w:rPr>
      </w:pPr>
      <w:r w:rsidRPr="00182DE0">
        <w:rPr>
          <w:rFonts w:ascii="Arial" w:hAnsi="Arial" w:cs="Arial"/>
          <w:b/>
          <w:sz w:val="22"/>
          <w:szCs w:val="22"/>
          <w:u w:val="single"/>
        </w:rPr>
        <w:t>Equality and Diversity</w:t>
      </w:r>
    </w:p>
    <w:p w14:paraId="4C88A4C0" w14:textId="77777777" w:rsidR="00182DE0" w:rsidRPr="00182DE0" w:rsidRDefault="00182DE0" w:rsidP="00182DE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The post-holder must co-operate with all policies and procedures designed to ensure equality of employment. Co-workers, patients and visitors must be treated equally irrespective of gender, ethnic origin, age, disability, sexual orientation, religion etc.</w:t>
      </w:r>
    </w:p>
    <w:p w14:paraId="312543B3" w14:textId="77777777" w:rsidR="00182DE0" w:rsidRPr="00182DE0" w:rsidRDefault="00182DE0" w:rsidP="00182DE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 xml:space="preserve">Respect for </w:t>
      </w:r>
      <w:r>
        <w:rPr>
          <w:rFonts w:ascii="Arial" w:hAnsi="Arial" w:cs="Arial"/>
          <w:sz w:val="22"/>
          <w:szCs w:val="22"/>
        </w:rPr>
        <w:t>p</w:t>
      </w:r>
      <w:r w:rsidRPr="00182DE0">
        <w:rPr>
          <w:rFonts w:ascii="Arial" w:hAnsi="Arial" w:cs="Arial"/>
          <w:sz w:val="22"/>
          <w:szCs w:val="22"/>
        </w:rPr>
        <w:t xml:space="preserve">atient </w:t>
      </w:r>
      <w:r>
        <w:rPr>
          <w:rFonts w:ascii="Arial" w:hAnsi="Arial" w:cs="Arial"/>
          <w:sz w:val="22"/>
          <w:szCs w:val="22"/>
        </w:rPr>
        <w:t>c</w:t>
      </w:r>
      <w:r w:rsidRPr="00182DE0">
        <w:rPr>
          <w:rFonts w:ascii="Arial" w:hAnsi="Arial" w:cs="Arial"/>
          <w:sz w:val="22"/>
          <w:szCs w:val="22"/>
        </w:rPr>
        <w:t>onfidentiality</w:t>
      </w:r>
      <w:r>
        <w:rPr>
          <w:rFonts w:ascii="Arial" w:hAnsi="Arial" w:cs="Arial"/>
          <w:sz w:val="22"/>
          <w:szCs w:val="22"/>
        </w:rPr>
        <w:t xml:space="preserve"> - t</w:t>
      </w:r>
      <w:r w:rsidRPr="00182DE0">
        <w:rPr>
          <w:rFonts w:ascii="Arial" w:hAnsi="Arial" w:cs="Arial"/>
          <w:sz w:val="22"/>
          <w:szCs w:val="22"/>
        </w:rPr>
        <w:t>he post-holder should respect patient confidentiality at all times and not divulge patient information unless sanctioned by the requirements of the role.</w:t>
      </w:r>
    </w:p>
    <w:p w14:paraId="7DA2FDB8" w14:textId="77777777" w:rsidR="00182DE0" w:rsidRPr="00182DE0" w:rsidRDefault="00182DE0" w:rsidP="00182DE0">
      <w:pPr>
        <w:rPr>
          <w:rFonts w:ascii="Arial" w:hAnsi="Arial" w:cs="Arial"/>
          <w:sz w:val="22"/>
          <w:szCs w:val="22"/>
        </w:rPr>
      </w:pPr>
    </w:p>
    <w:p w14:paraId="70EC77EC" w14:textId="77777777" w:rsidR="000E3DF4" w:rsidRDefault="000E3DF4" w:rsidP="00182DE0">
      <w:pPr>
        <w:rPr>
          <w:rFonts w:ascii="Arial" w:hAnsi="Arial" w:cs="Arial"/>
          <w:b/>
          <w:sz w:val="22"/>
          <w:szCs w:val="22"/>
          <w:u w:val="single"/>
        </w:rPr>
      </w:pPr>
    </w:p>
    <w:p w14:paraId="3AC19125" w14:textId="77777777" w:rsidR="000E3DF4" w:rsidRDefault="000E3DF4" w:rsidP="00182DE0">
      <w:pPr>
        <w:rPr>
          <w:rFonts w:ascii="Arial" w:hAnsi="Arial" w:cs="Arial"/>
          <w:b/>
          <w:sz w:val="22"/>
          <w:szCs w:val="22"/>
          <w:u w:val="single"/>
        </w:rPr>
      </w:pPr>
    </w:p>
    <w:p w14:paraId="2EEA0E63" w14:textId="77777777" w:rsidR="00182DE0" w:rsidRPr="00182DE0" w:rsidRDefault="00182DE0" w:rsidP="00182DE0">
      <w:pPr>
        <w:rPr>
          <w:rFonts w:ascii="Arial" w:hAnsi="Arial" w:cs="Arial"/>
          <w:b/>
          <w:sz w:val="22"/>
          <w:szCs w:val="22"/>
          <w:u w:val="single"/>
        </w:rPr>
      </w:pPr>
      <w:r w:rsidRPr="00182DE0">
        <w:rPr>
          <w:rFonts w:ascii="Arial" w:hAnsi="Arial" w:cs="Arial"/>
          <w:b/>
          <w:sz w:val="22"/>
          <w:szCs w:val="22"/>
          <w:u w:val="single"/>
        </w:rPr>
        <w:lastRenderedPageBreak/>
        <w:t>Special Working Conditions</w:t>
      </w:r>
    </w:p>
    <w:p w14:paraId="6436AC8D" w14:textId="77777777" w:rsidR="00182DE0" w:rsidRPr="00182DE0" w:rsidRDefault="00182DE0" w:rsidP="00182DE0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The post-holder is required to travel independently between practice sites (where applicable), and to attend meetings etc. hosted by other agencies.</w:t>
      </w:r>
    </w:p>
    <w:p w14:paraId="20868D18" w14:textId="77777777" w:rsidR="00182DE0" w:rsidRPr="00182DE0" w:rsidRDefault="00182DE0" w:rsidP="00182DE0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The post-holder will have contact with body fluids i.e. wound exudates; urine etc. while in clinical practice.</w:t>
      </w:r>
    </w:p>
    <w:p w14:paraId="64DF8C76" w14:textId="77777777" w:rsidR="00182DE0" w:rsidRPr="00182DE0" w:rsidRDefault="00182DE0" w:rsidP="00182DE0">
      <w:pPr>
        <w:rPr>
          <w:rFonts w:ascii="Arial" w:hAnsi="Arial" w:cs="Arial"/>
          <w:sz w:val="22"/>
          <w:szCs w:val="22"/>
        </w:rPr>
      </w:pPr>
    </w:p>
    <w:p w14:paraId="6F1C744A" w14:textId="77777777" w:rsidR="00182DE0" w:rsidRPr="00182DE0" w:rsidRDefault="00182DE0" w:rsidP="00182DE0">
      <w:pPr>
        <w:rPr>
          <w:rFonts w:ascii="Arial" w:hAnsi="Arial" w:cs="Arial"/>
          <w:b/>
          <w:sz w:val="22"/>
          <w:szCs w:val="22"/>
          <w:u w:val="single"/>
        </w:rPr>
      </w:pPr>
      <w:r w:rsidRPr="00182DE0">
        <w:rPr>
          <w:rFonts w:ascii="Arial" w:hAnsi="Arial" w:cs="Arial"/>
          <w:b/>
          <w:sz w:val="22"/>
          <w:szCs w:val="22"/>
          <w:u w:val="single"/>
        </w:rPr>
        <w:t>Job Description Agreement</w:t>
      </w:r>
    </w:p>
    <w:p w14:paraId="31A62A87" w14:textId="77777777" w:rsidR="00182DE0" w:rsidRPr="00182DE0" w:rsidRDefault="00182DE0" w:rsidP="00182DE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 xml:space="preserve">This job description is intended to provide an outline of the key tasks and responsibilities only. There may be other duties required of the post-holder commensurate with the position. This description will be open to regular review and may be amended to take into account development within the </w:t>
      </w:r>
      <w:r>
        <w:rPr>
          <w:rFonts w:ascii="Arial" w:hAnsi="Arial" w:cs="Arial"/>
          <w:sz w:val="22"/>
          <w:szCs w:val="22"/>
        </w:rPr>
        <w:t>Network</w:t>
      </w:r>
      <w:r w:rsidRPr="00182DE0">
        <w:rPr>
          <w:rFonts w:ascii="Arial" w:hAnsi="Arial" w:cs="Arial"/>
          <w:sz w:val="22"/>
          <w:szCs w:val="22"/>
        </w:rPr>
        <w:t xml:space="preserve">. All members of staff should be prepared to take on additional duties or relinquish existing duties in order to maintain the efficient running of the </w:t>
      </w:r>
      <w:r>
        <w:rPr>
          <w:rFonts w:ascii="Arial" w:hAnsi="Arial" w:cs="Arial"/>
          <w:sz w:val="22"/>
          <w:szCs w:val="22"/>
        </w:rPr>
        <w:t>N</w:t>
      </w:r>
      <w:r w:rsidRPr="00182DE0">
        <w:rPr>
          <w:rFonts w:ascii="Arial" w:hAnsi="Arial" w:cs="Arial"/>
          <w:sz w:val="22"/>
          <w:szCs w:val="22"/>
        </w:rPr>
        <w:t>etwork.</w:t>
      </w:r>
    </w:p>
    <w:p w14:paraId="4EBA4965" w14:textId="77777777" w:rsidR="00182DE0" w:rsidRPr="00182DE0" w:rsidRDefault="00182DE0" w:rsidP="00182DE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This job description is intended as a basic guide to the scope and responsibilities of the post and is not exhaustive. It will be subject to regular review and amendment as necessary in consultation with the post-holder.</w:t>
      </w:r>
    </w:p>
    <w:p w14:paraId="5B9E850D" w14:textId="77777777" w:rsidR="0037435F" w:rsidRPr="00182DE0" w:rsidRDefault="0037435F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6B6329FF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64F198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392BCCA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1F615113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3700883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2C0375CA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1BCA84F3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435B2B7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1B9EDE6E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8C7DAE8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6625D1EB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3F303D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2CE6C597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2C370913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663E1DC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0DCAB75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CAA8EFB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63C071A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7E95B11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4E57874C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0EEE4CA6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66FF2E3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669C800B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1CE9093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312D640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4B21E3A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03E941F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2BC56F9C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057815F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480B0136" w14:textId="77777777" w:rsidR="000E3DF4" w:rsidRPr="000E3DF4" w:rsidRDefault="000E3DF4" w:rsidP="00ED77F9">
      <w:pPr>
        <w:pStyle w:val="NoSpacing"/>
        <w:rPr>
          <w:rFonts w:ascii="Arial" w:eastAsiaTheme="minorHAnsi" w:hAnsi="Arial" w:cs="Arial"/>
          <w:b/>
          <w:sz w:val="24"/>
          <w:szCs w:val="24"/>
          <w:lang w:val="en-GB"/>
        </w:rPr>
      </w:pPr>
      <w:r>
        <w:rPr>
          <w:rFonts w:ascii="Arial" w:eastAsiaTheme="minorHAnsi" w:hAnsi="Arial" w:cs="Arial"/>
          <w:b/>
          <w:sz w:val="28"/>
          <w:szCs w:val="28"/>
          <w:lang w:val="en-GB"/>
        </w:rPr>
        <w:lastRenderedPageBreak/>
        <w:t>Person Specification:</w:t>
      </w:r>
    </w:p>
    <w:p w14:paraId="693A5D71" w14:textId="77777777" w:rsidR="00182DE0" w:rsidRPr="009C06D2" w:rsidRDefault="00182DE0" w:rsidP="00182DE0"/>
    <w:tbl>
      <w:tblPr>
        <w:tblStyle w:val="TableGrid0"/>
        <w:tblW w:w="10038" w:type="dxa"/>
        <w:tblInd w:w="-147" w:type="dxa"/>
        <w:tblLayout w:type="fixed"/>
        <w:tblCellMar>
          <w:top w:w="50" w:type="dxa"/>
          <w:left w:w="110" w:type="dxa"/>
          <w:right w:w="12" w:type="dxa"/>
        </w:tblCellMar>
        <w:tblLook w:val="04A0" w:firstRow="1" w:lastRow="0" w:firstColumn="1" w:lastColumn="0" w:noHBand="0" w:noVBand="1"/>
      </w:tblPr>
      <w:tblGrid>
        <w:gridCol w:w="2067"/>
        <w:gridCol w:w="5703"/>
        <w:gridCol w:w="1134"/>
        <w:gridCol w:w="1134"/>
      </w:tblGrid>
      <w:tr w:rsidR="00182DE0" w:rsidRPr="0014597F" w14:paraId="20A8125F" w14:textId="77777777" w:rsidTr="0059118C">
        <w:trPr>
          <w:trHeight w:val="5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964F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41DE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D484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Essential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90F7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Desirable </w:t>
            </w:r>
          </w:p>
        </w:tc>
      </w:tr>
      <w:tr w:rsidR="00182DE0" w:rsidRPr="0014597F" w14:paraId="3BC77D70" w14:textId="77777777" w:rsidTr="0059118C">
        <w:trPr>
          <w:trHeight w:val="188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9AA7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Professional Registration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AF833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Mandatory registration with General Pharmaceutical Council  </w:t>
            </w:r>
          </w:p>
          <w:p w14:paraId="17307600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B9DB1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Membership of the Royal Pharmaceutical Society  </w:t>
            </w:r>
          </w:p>
          <w:p w14:paraId="594D51E9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4C43D8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 member of or working towards Faculty membership of the Royal Pharmaceutical Society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7409" w14:textId="77777777" w:rsidR="00182DE0" w:rsidRPr="006670C0" w:rsidRDefault="006670C0" w:rsidP="00591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69174A7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FD4B3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B656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62DCE2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C08333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5175FEBD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BA6FE1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962E5B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5212F17F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E0" w:rsidRPr="0014597F" w14:paraId="31F5DDCD" w14:textId="77777777" w:rsidTr="0059118C">
        <w:trPr>
          <w:trHeight w:val="29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0588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Qualifications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5160F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Masters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 degree in pharmacy (</w:t>
            </w: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MPharm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) (or equivalent) </w:t>
            </w:r>
          </w:p>
          <w:p w14:paraId="7C5C2DC3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549CC1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Specialist knowledge acquired through postgraduate diploma level or equivalent training/experience </w:t>
            </w:r>
          </w:p>
          <w:p w14:paraId="040E8F54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9D3CB1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Independent prescriber or working towards/intent of gaining independent prescribing qualification </w:t>
            </w:r>
          </w:p>
          <w:p w14:paraId="542E2E76" w14:textId="77777777" w:rsidR="00182DE0" w:rsidRPr="006670C0" w:rsidRDefault="00182DE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B94EBF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>CPPE primary care pathway training course or working towards / intent of completing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9BC1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0579EE9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E88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5F736E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DBF8DE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EE7642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FA2C5F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850A2E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7E48677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075188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CFA120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5C6536D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E0" w:rsidRPr="0043392A" w14:paraId="0E9546B0" w14:textId="77777777" w:rsidTr="0059118C">
        <w:trPr>
          <w:trHeight w:val="79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D970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Skills </w:t>
            </w:r>
          </w:p>
          <w:p w14:paraId="128480F8" w14:textId="77777777" w:rsidR="00182DE0" w:rsidRPr="006670C0" w:rsidRDefault="00182DE0" w:rsidP="0059118C">
            <w:pPr>
              <w:spacing w:line="249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and experience </w:t>
            </w:r>
          </w:p>
          <w:p w14:paraId="0054776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3762F18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7F982CA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A1B43CB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304965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120962E7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D23E7C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580599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17F9156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9B7B2D7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754BD7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8F481FF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72C0DB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0163B7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FF3D084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7935010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973563E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8C07FF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BF9C88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88E937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0BB6371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B685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Minimum of two years post-qualification experience.  </w:t>
            </w:r>
          </w:p>
          <w:p w14:paraId="67810FAA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14:paraId="5D42D6A1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>In depth therapeutic and clinical knowledge and understanding of the principles of evidence-</w:t>
            </w:r>
            <w:r w:rsidRPr="006670C0">
              <w:rPr>
                <w:rFonts w:ascii="Cambria Math" w:eastAsia="Arial" w:hAnsi="Cambria Math" w:cs="Cambria Math"/>
                <w:sz w:val="22"/>
                <w:szCs w:val="22"/>
              </w:rPr>
              <w:t>‐</w:t>
            </w: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based healthcare. </w:t>
            </w:r>
          </w:p>
          <w:p w14:paraId="6830D193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14:paraId="33E4F49B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An appreciation of the nature of PCNs, GPs and general practices  </w:t>
            </w:r>
          </w:p>
          <w:p w14:paraId="7188AFFA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D40993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An appreciation of the nature of primary care prescribing, concepts of rational prescribing and strategies for improving prescribing  </w:t>
            </w:r>
          </w:p>
          <w:p w14:paraId="18801AB5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8D3E1E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Excellent interpersonal, influencing and negotiating skills  </w:t>
            </w:r>
          </w:p>
          <w:p w14:paraId="1694A665" w14:textId="77777777" w:rsidR="00182DE0" w:rsidRPr="006670C0" w:rsidRDefault="00182DE0" w:rsidP="0059118C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C02B95" w14:textId="77777777" w:rsidR="00182DE0" w:rsidRPr="006670C0" w:rsidRDefault="00182DE0" w:rsidP="0059118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Excellent written and verbal communication skills </w:t>
            </w:r>
          </w:p>
          <w:p w14:paraId="6A54EA7D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B4A4CF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Demonstrate the ability to communicate complex and sensitive information in an understandable form to a variety of audiences (e.g. patients) </w:t>
            </w:r>
          </w:p>
          <w:p w14:paraId="6B238C83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26C5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Is able to plan, manage, monitor, advise and review general medicine </w:t>
            </w: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optimisation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 issues in core areas for long term conditions.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E4B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4A5C8F7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F91D1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E49DB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C4477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F6E2F7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6E2128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1FAC616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E0991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11D5C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742B51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2A1AFB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59F10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0EF0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15E32F6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D5DE49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68BD64F8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D75EC0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55AD1BB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CAE93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322DB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D066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17A9C0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D81CA4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F9D03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7C76957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0DBA3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96DC6B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92FDC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1E1CA5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3DDAF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069E8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CAEF5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D0C7E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15C5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FEEF0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E40A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35436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1253A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207581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489A0C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44AA371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6CDACC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112BF85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74A0B0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E0" w:rsidRPr="0014597F" w14:paraId="4519FA58" w14:textId="77777777" w:rsidTr="0059118C">
        <w:tblPrEx>
          <w:tblCellMar>
            <w:right w:w="102" w:type="dxa"/>
          </w:tblCellMar>
        </w:tblPrEx>
        <w:trPr>
          <w:trHeight w:val="602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8430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Skills </w:t>
            </w:r>
          </w:p>
          <w:p w14:paraId="276CEC6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and experience cont.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B90F" w14:textId="77777777" w:rsidR="00182DE0" w:rsidRPr="006670C0" w:rsidRDefault="00182DE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Good IT skills  </w:t>
            </w:r>
          </w:p>
          <w:p w14:paraId="0E892A2D" w14:textId="77777777" w:rsidR="00182DE0" w:rsidRPr="006670C0" w:rsidRDefault="00182DE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23BCE4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Able to obtain and </w:t>
            </w: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analyse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 complex technical information</w:t>
            </w:r>
          </w:p>
          <w:p w14:paraId="591247AD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49150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Recognises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 priorities when problem solving and identifies deviations from the normal pattern and is able to refer to seniors or GPs when appropriate</w:t>
            </w:r>
          </w:p>
          <w:p w14:paraId="20577F42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B9CE9B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Able to work under pressure and to meet deadlines </w:t>
            </w:r>
          </w:p>
          <w:p w14:paraId="0E380307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8DA8B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>Experience with GP clinical systems</w:t>
            </w:r>
          </w:p>
          <w:p w14:paraId="3B44C669" w14:textId="77777777" w:rsidR="00182DE0" w:rsidRPr="006670C0" w:rsidRDefault="00182DE0" w:rsidP="0059118C">
            <w:pPr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7C81A9" w14:textId="77777777" w:rsidR="00182DE0" w:rsidRPr="006670C0" w:rsidRDefault="00182DE0" w:rsidP="0059118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Gain acceptance for recommendations and influence/motivate/persuade the audience to comply with the recommendations/agreed course of action where there may be significant barriers </w:t>
            </w:r>
          </w:p>
          <w:p w14:paraId="3B87103A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14:paraId="4786671F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Work effectively independently and as a team member </w:t>
            </w:r>
          </w:p>
          <w:p w14:paraId="0A2EF93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C5EFE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Demonstrates accountability for delivering professional expertise and direct service provision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1B3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75A16710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FBD476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7129241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8183DB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09AC43E6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B59224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442C6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727BA5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68FE615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98F91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35674B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C89C3D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321EA19C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2AA22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9BB31E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376E3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B64DF5F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7DA118F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E070D0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0454E1E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755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8198AC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CAC0F3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58E22D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E9AAA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44CA1C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0A528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DBA29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B8B4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0A7768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93CA78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0CB1078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4943B23F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0C0" w:rsidRPr="0014597F" w14:paraId="51D0F02D" w14:textId="77777777" w:rsidTr="00D52AAC">
        <w:tblPrEx>
          <w:tblCellMar>
            <w:right w:w="102" w:type="dxa"/>
          </w:tblCellMar>
        </w:tblPrEx>
        <w:trPr>
          <w:trHeight w:val="36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B8C" w14:textId="77777777" w:rsidR="006670C0" w:rsidRPr="006670C0" w:rsidRDefault="006670C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0AB6" w14:textId="77777777" w:rsidR="006670C0" w:rsidRDefault="006670C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Self-Motivation</w:t>
            </w:r>
          </w:p>
          <w:p w14:paraId="5B89D270" w14:textId="77777777" w:rsidR="00D52AAC" w:rsidRDefault="00D52AAC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5B0939" w14:textId="77777777" w:rsidR="006670C0" w:rsidRDefault="006670C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Adapatable</w:t>
            </w:r>
            <w:proofErr w:type="spellEnd"/>
          </w:p>
          <w:p w14:paraId="2C7DB72F" w14:textId="77777777" w:rsidR="00D52AAC" w:rsidRDefault="00D52AAC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E959FE" w14:textId="77777777" w:rsidR="006670C0" w:rsidRDefault="006670C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date DBS check</w:t>
            </w:r>
          </w:p>
          <w:p w14:paraId="2C2E4FE6" w14:textId="77777777" w:rsidR="00D52AAC" w:rsidRDefault="00D52AAC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BBF051" w14:textId="77777777" w:rsidR="006670C0" w:rsidRDefault="006670C0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Safeguarding Adult</w:t>
            </w:r>
            <w:r w:rsidR="00D52AAC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Children (Level 3)</w:t>
            </w:r>
          </w:p>
          <w:p w14:paraId="4FFF0B06" w14:textId="77777777" w:rsidR="00D52AAC" w:rsidRDefault="00D52AAC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56B67B" w14:textId="77777777" w:rsidR="006670C0" w:rsidRDefault="006670C0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Immunisation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status</w:t>
            </w:r>
          </w:p>
          <w:p w14:paraId="47A3433B" w14:textId="77777777" w:rsidR="00D52AAC" w:rsidRDefault="00D52AAC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D571143" w14:textId="77777777" w:rsidR="006670C0" w:rsidRPr="006670C0" w:rsidRDefault="006670C0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UK Work Permit (if required)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2794" w14:textId="77777777" w:rsidR="00D52AAC" w:rsidRPr="003E5910" w:rsidRDefault="00D52AAC" w:rsidP="003E591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  <w:r w:rsidR="003E5910"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</w:p>
          <w:p w14:paraId="1B815CB8" w14:textId="77777777" w:rsidR="003E5910" w:rsidRDefault="00D52AAC" w:rsidP="0042556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  <w:r w:rsidR="003E5910"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</w:p>
          <w:p w14:paraId="4CCEAD60" w14:textId="77777777" w:rsidR="0042556C" w:rsidRPr="0042556C" w:rsidRDefault="00D52AAC" w:rsidP="0042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FDE0DFF" w14:textId="77777777" w:rsidR="0042556C" w:rsidRDefault="0042556C" w:rsidP="00D52AA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4CBCC78" w14:textId="77777777" w:rsidR="00D52AAC" w:rsidRPr="006670C0" w:rsidRDefault="00D52AAC" w:rsidP="00D52A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497019D2" w14:textId="77777777" w:rsidR="00D52AAC" w:rsidRPr="00D52AAC" w:rsidRDefault="00D52AAC" w:rsidP="00D52A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5B70" w14:textId="77777777" w:rsidR="006670C0" w:rsidRDefault="006670C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0FC2D6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B25BFE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7FE75A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DB5DDC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AC858E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8C811C" w14:textId="77777777" w:rsidR="00D52AAC" w:rsidRPr="006670C0" w:rsidRDefault="00D52AAC" w:rsidP="003E5910">
            <w:pPr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6441F7EB" w14:textId="77777777" w:rsidR="00D52AAC" w:rsidRPr="006670C0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9AC736" w14:textId="77777777" w:rsidR="00182DE0" w:rsidRDefault="00182DE0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67D94CCA" w14:textId="77777777" w:rsidR="00D52AAC" w:rsidRDefault="00D52AAC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1663C9FC" w14:textId="2E5F4AE8" w:rsidR="00D52AAC" w:rsidRDefault="00D52AAC" w:rsidP="00ED77F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/GPB</w:t>
      </w:r>
      <w:r>
        <w:rPr>
          <w:rFonts w:ascii="Arial" w:hAnsi="Arial" w:cs="Arial"/>
          <w:sz w:val="22"/>
          <w:szCs w:val="22"/>
        </w:rPr>
        <w:br/>
      </w:r>
      <w:r w:rsidR="002A7944">
        <w:rPr>
          <w:rFonts w:ascii="Arial" w:hAnsi="Arial" w:cs="Arial"/>
          <w:sz w:val="22"/>
          <w:szCs w:val="22"/>
        </w:rPr>
        <w:t>27 July, 2022</w:t>
      </w:r>
    </w:p>
    <w:sectPr w:rsidR="00D52AAC" w:rsidSect="000E3DF4">
      <w:footerReference w:type="default" r:id="rId7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A158" w14:textId="77777777" w:rsidR="00182DE0" w:rsidRDefault="00182DE0" w:rsidP="00182DE0">
      <w:r>
        <w:separator/>
      </w:r>
    </w:p>
  </w:endnote>
  <w:endnote w:type="continuationSeparator" w:id="0">
    <w:p w14:paraId="777811CD" w14:textId="77777777" w:rsidR="00182DE0" w:rsidRDefault="00182DE0" w:rsidP="001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953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E4172" w14:textId="77777777" w:rsidR="00182DE0" w:rsidRDefault="00182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4165AA" w14:textId="77777777" w:rsidR="00182DE0" w:rsidRDefault="0018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91E8" w14:textId="77777777" w:rsidR="00182DE0" w:rsidRDefault="00182DE0" w:rsidP="00182DE0">
      <w:r>
        <w:separator/>
      </w:r>
    </w:p>
  </w:footnote>
  <w:footnote w:type="continuationSeparator" w:id="0">
    <w:p w14:paraId="361923A9" w14:textId="77777777" w:rsidR="00182DE0" w:rsidRDefault="00182DE0" w:rsidP="0018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43D8E"/>
    <w:multiLevelType w:val="hybridMultilevel"/>
    <w:tmpl w:val="BF2E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4903"/>
    <w:multiLevelType w:val="hybridMultilevel"/>
    <w:tmpl w:val="5CE8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7EB"/>
    <w:multiLevelType w:val="hybridMultilevel"/>
    <w:tmpl w:val="EA0A2D1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4AD3F4F"/>
    <w:multiLevelType w:val="hybridMultilevel"/>
    <w:tmpl w:val="E05CEDE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95A"/>
    <w:multiLevelType w:val="hybridMultilevel"/>
    <w:tmpl w:val="1E947EE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97B6F"/>
    <w:multiLevelType w:val="hybridMultilevel"/>
    <w:tmpl w:val="A18847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332AD6"/>
    <w:multiLevelType w:val="hybridMultilevel"/>
    <w:tmpl w:val="0F72DF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1EFD"/>
    <w:multiLevelType w:val="hybridMultilevel"/>
    <w:tmpl w:val="EA96F92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7974"/>
    <w:multiLevelType w:val="hybridMultilevel"/>
    <w:tmpl w:val="6AC6B6A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3BC7"/>
    <w:multiLevelType w:val="hybridMultilevel"/>
    <w:tmpl w:val="79CCED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13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ED4CA3"/>
    <w:multiLevelType w:val="hybridMultilevel"/>
    <w:tmpl w:val="A80EC3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69F5"/>
    <w:multiLevelType w:val="hybridMultilevel"/>
    <w:tmpl w:val="3D5EC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15B2"/>
    <w:multiLevelType w:val="hybridMultilevel"/>
    <w:tmpl w:val="5B8200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7A72"/>
    <w:multiLevelType w:val="hybridMultilevel"/>
    <w:tmpl w:val="5B6CC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47CD"/>
    <w:multiLevelType w:val="hybridMultilevel"/>
    <w:tmpl w:val="78C20F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4623"/>
    <w:multiLevelType w:val="hybridMultilevel"/>
    <w:tmpl w:val="F636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0"/>
  </w:num>
  <w:num w:numId="5">
    <w:abstractNumId w:val="18"/>
  </w:num>
  <w:num w:numId="6">
    <w:abstractNumId w:val="8"/>
  </w:num>
  <w:num w:numId="7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6"/>
  </w:num>
  <w:num w:numId="19">
    <w:abstractNumId w:val="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F9"/>
    <w:rsid w:val="00027805"/>
    <w:rsid w:val="000E3DF4"/>
    <w:rsid w:val="00182DE0"/>
    <w:rsid w:val="001F5670"/>
    <w:rsid w:val="002A7944"/>
    <w:rsid w:val="0037435F"/>
    <w:rsid w:val="003E5910"/>
    <w:rsid w:val="0042556C"/>
    <w:rsid w:val="005B4D1B"/>
    <w:rsid w:val="006670C0"/>
    <w:rsid w:val="00884CD1"/>
    <w:rsid w:val="008C1CA4"/>
    <w:rsid w:val="00924F16"/>
    <w:rsid w:val="00A31263"/>
    <w:rsid w:val="00B16DF1"/>
    <w:rsid w:val="00CA3A62"/>
    <w:rsid w:val="00CE1F28"/>
    <w:rsid w:val="00D05C73"/>
    <w:rsid w:val="00D52AAC"/>
    <w:rsid w:val="00E32021"/>
    <w:rsid w:val="00ED77F9"/>
    <w:rsid w:val="00F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7378"/>
  <w15:docId w15:val="{E10D7FEE-754D-47DE-A7CE-2F82C7F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77F9"/>
    <w:pPr>
      <w:ind w:left="720"/>
      <w:contextualSpacing/>
    </w:pPr>
  </w:style>
  <w:style w:type="table" w:styleId="TableGrid">
    <w:name w:val="Table Grid"/>
    <w:basedOn w:val="TableNormal"/>
    <w:uiPriority w:val="59"/>
    <w:rsid w:val="00ED7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E0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0">
    <w:name w:val="TableGrid"/>
    <w:rsid w:val="00182DE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Nicola (P81086)</dc:creator>
  <cp:lastModifiedBy>BEVAN, Gillian (CLAYPATH &amp; UNIVERSITY MEDICAL GROUP)</cp:lastModifiedBy>
  <cp:revision>2</cp:revision>
  <dcterms:created xsi:type="dcterms:W3CDTF">2022-07-27T09:47:00Z</dcterms:created>
  <dcterms:modified xsi:type="dcterms:W3CDTF">2022-07-27T09:47:00Z</dcterms:modified>
</cp:coreProperties>
</file>